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FBE" w:rsidRDefault="000B5FBE" w:rsidP="000B5FBE">
      <w:pPr>
        <w:pStyle w:val="Normal2"/>
        <w:ind w:firstLine="567"/>
        <w:jc w:val="center"/>
        <w:rPr>
          <w:b/>
          <w:lang w:val="uz-Cyrl-UZ"/>
        </w:rPr>
      </w:pPr>
      <w:r>
        <w:rPr>
          <w:b/>
          <w:lang w:val="uz-Cyrl-UZ"/>
        </w:rPr>
        <w:t>MUSTAQIL TA’LIM MASHG‘ULOTLARI</w:t>
      </w:r>
    </w:p>
    <w:p w:rsidR="000B5FBE" w:rsidRDefault="000B5FBE" w:rsidP="000B5FBE">
      <w:pPr>
        <w:pStyle w:val="Normal2"/>
        <w:ind w:firstLine="567"/>
        <w:jc w:val="center"/>
        <w:rPr>
          <w:b/>
          <w:lang w:val="uz-Cyrl-UZ"/>
        </w:rPr>
      </w:pP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Qiyosiy tilshunoslik va tarjima nazariyasi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proofErr w:type="spellStart"/>
      <w:r>
        <w:rPr>
          <w:rFonts w:ascii="Times New Roman" w:hAnsi="Times New Roman"/>
          <w:sz w:val="24"/>
          <w:szCs w:val="24"/>
          <w:lang w:val="en-US"/>
        </w:rPr>
        <w:t>Turli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sistemalarini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qiyosiy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rganishning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zamonaviy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metodlari</w:t>
      </w:r>
      <w:proofErr w:type="spellEnd"/>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Qiyosiy, chog‘ishtirish va tipologik metodlar</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Til tizimlarini qiyosiy tavsiflash prinsiplari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Qiyosiy tilshunoslik tarixi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Til oilalari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Hind-Yevropa tillari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Oltoy tillari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Sino-tibet tillari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bCs/>
          <w:sz w:val="24"/>
          <w:szCs w:val="24"/>
          <w:lang w:val="uz-Latn-UZ"/>
        </w:rPr>
        <w:t>Glottoxronologiya</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Leksika, frazeologiya, morfologiya va sintaksisda kongruentlik</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uz-Cyrl-UZ"/>
        </w:rPr>
        <w:t>Leksik birliklar va tarjima</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Qiyosiy tilshunoslik va chet tillarni o‘qitish</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A.Shleyxer va uning qiyosiy-tarixiy tilshunoslik tadqiqotlariga qo‘shgan hissasi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I.A.Boduen de Kurtene va tillar tipologiyasi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Areal tilshunoslik</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proofErr w:type="spellStart"/>
      <w:r>
        <w:rPr>
          <w:rFonts w:ascii="Times New Roman" w:hAnsi="Times New Roman"/>
          <w:sz w:val="24"/>
          <w:szCs w:val="24"/>
          <w:lang w:val="en-US"/>
        </w:rPr>
        <w:t>Tillarni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zlashtirishda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interferensiya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muammolari</w:t>
      </w:r>
      <w:proofErr w:type="spellEnd"/>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V.fon Gumboldt tadqiqotlarida qiyosiy tilshunoslik masalalari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r>
        <w:rPr>
          <w:rFonts w:ascii="Times New Roman" w:hAnsi="Times New Roman"/>
          <w:sz w:val="24"/>
          <w:szCs w:val="24"/>
          <w:lang w:val="sv-SE"/>
        </w:rPr>
        <w:t>V.N.Yarseva tadqiqotlarida qiyosiy tilshunoslik masalalari</w:t>
      </w:r>
    </w:p>
    <w:p w:rsidR="000B5FBE" w:rsidRDefault="000B5FBE" w:rsidP="000B5FBE">
      <w:pPr>
        <w:numPr>
          <w:ilvl w:val="0"/>
          <w:numId w:val="1"/>
        </w:numPr>
        <w:tabs>
          <w:tab w:val="left" w:pos="993"/>
        </w:tabs>
        <w:adjustRightInd w:val="0"/>
        <w:spacing w:after="0" w:line="240" w:lineRule="auto"/>
        <w:ind w:left="0" w:right="-61" w:firstLine="567"/>
        <w:jc w:val="both"/>
        <w:rPr>
          <w:rFonts w:ascii="Times New Roman" w:hAnsi="Times New Roman"/>
          <w:sz w:val="24"/>
          <w:szCs w:val="24"/>
          <w:lang w:val="sv-SE"/>
        </w:rPr>
      </w:pPr>
      <w:proofErr w:type="spellStart"/>
      <w:r>
        <w:rPr>
          <w:rFonts w:ascii="Times New Roman" w:hAnsi="Times New Roman"/>
          <w:sz w:val="24"/>
          <w:szCs w:val="24"/>
          <w:lang w:val="en-US"/>
        </w:rPr>
        <w:t>Qiyosiy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tipologik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grammatikaning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kategoriyalari</w:t>
      </w:r>
      <w:bookmarkStart w:id="0" w:name="_GoBack"/>
      <w:bookmarkEnd w:id="0"/>
      <w:proofErr w:type="spellEnd"/>
    </w:p>
    <w:p w:rsidR="000B5FBE" w:rsidRDefault="000B5FBE" w:rsidP="000B5FBE">
      <w:pPr>
        <w:tabs>
          <w:tab w:val="left" w:pos="993"/>
        </w:tabs>
        <w:adjustRightInd w:val="0"/>
        <w:spacing w:after="0" w:line="240" w:lineRule="auto"/>
        <w:ind w:left="567" w:right="-61"/>
        <w:jc w:val="both"/>
        <w:rPr>
          <w:rFonts w:ascii="Times New Roman" w:hAnsi="Times New Roman"/>
          <w:sz w:val="24"/>
          <w:szCs w:val="24"/>
          <w:lang w:val="sv-SE"/>
        </w:rPr>
      </w:pPr>
    </w:p>
    <w:p w:rsidR="000B5FBE" w:rsidRDefault="000B5FBE" w:rsidP="000B5FBE">
      <w:pPr>
        <w:pStyle w:val="a4"/>
        <w:ind w:firstLine="708"/>
        <w:jc w:val="both"/>
        <w:rPr>
          <w:rFonts w:ascii="Times New Roman" w:hAnsi="Times New Roman"/>
          <w:sz w:val="24"/>
          <w:szCs w:val="24"/>
          <w:lang w:val="sv-SE"/>
        </w:rPr>
      </w:pPr>
      <w:r>
        <w:rPr>
          <w:rFonts w:ascii="Times New Roman" w:hAnsi="Times New Roman"/>
          <w:bCs/>
          <w:sz w:val="24"/>
          <w:szCs w:val="24"/>
          <w:lang w:val="uz-Cyrl-UZ"/>
        </w:rPr>
        <w:t xml:space="preserve">“Qiyosiy tilshunoslik va tarjima lingvistikasi” </w:t>
      </w:r>
      <w:r>
        <w:rPr>
          <w:rFonts w:ascii="Times New Roman" w:hAnsi="Times New Roman"/>
          <w:sz w:val="24"/>
          <w:szCs w:val="24"/>
          <w:lang w:val="uz-Latn-UZ"/>
        </w:rPr>
        <w:t xml:space="preserve">fanini o‘rganuvchi magistrantlar auditoriyada olgan bilimlarini mustahkamlash va </w:t>
      </w:r>
      <w:r>
        <w:rPr>
          <w:rFonts w:ascii="Times New Roman" w:hAnsi="Times New Roman"/>
          <w:sz w:val="24"/>
          <w:szCs w:val="24"/>
          <w:lang w:val="uz-Cyrl-UZ"/>
        </w:rPr>
        <w:t>tarjimaning lingv</w:t>
      </w:r>
      <w:r>
        <w:rPr>
          <w:rFonts w:ascii="Times New Roman" w:hAnsi="Times New Roman"/>
          <w:sz w:val="24"/>
          <w:szCs w:val="24"/>
          <w:lang w:val="sv-SE"/>
        </w:rPr>
        <w:t xml:space="preserve">istik </w:t>
      </w:r>
      <w:r>
        <w:rPr>
          <w:rFonts w:ascii="Times New Roman" w:hAnsi="Times New Roman"/>
          <w:sz w:val="24"/>
          <w:szCs w:val="24"/>
          <w:lang w:val="uz-Cyrl-UZ"/>
        </w:rPr>
        <w:t>aspektlari</w:t>
      </w:r>
      <w:r>
        <w:rPr>
          <w:rFonts w:ascii="Times New Roman" w:hAnsi="Times New Roman"/>
          <w:sz w:val="24"/>
          <w:szCs w:val="24"/>
          <w:lang w:val="uz-Latn-UZ"/>
        </w:rPr>
        <w:t xml:space="preserve">ning amaliy masalalarni hal qilishda ko‘nikma hosil qilish uchun mustaqil ta’lim tizimiga asoslanib, kafedra o‘qituvchilari rahbarligida mustaqil ish bajaradilar. Bunda ular qo‘shimcha adabiyotlarni o‘rganib hamda Internet saytlaridan foydalanib referat va ilmiy doklad tayyorlaydi, amaliy mashg‘ulot mavzusiga doir uy vazifalarini bajaradi, ko‘rgazmali qurollar va slaydlar tayyorlaydi. </w:t>
      </w:r>
    </w:p>
    <w:p w:rsidR="000B5FBE" w:rsidRDefault="000B5FBE" w:rsidP="000B5FBE">
      <w:pPr>
        <w:pStyle w:val="a4"/>
        <w:ind w:firstLine="708"/>
        <w:jc w:val="both"/>
        <w:rPr>
          <w:rFonts w:ascii="Times New Roman" w:hAnsi="Times New Roman"/>
          <w:sz w:val="24"/>
          <w:szCs w:val="24"/>
          <w:lang w:val="uz-Latn-UZ"/>
        </w:rPr>
      </w:pPr>
      <w:r>
        <w:rPr>
          <w:rFonts w:ascii="Times New Roman" w:hAnsi="Times New Roman"/>
          <w:sz w:val="24"/>
          <w:szCs w:val="24"/>
          <w:lang w:val="sv-SE"/>
        </w:rPr>
        <w:t>M</w:t>
      </w:r>
      <w:r>
        <w:rPr>
          <w:rFonts w:ascii="Times New Roman" w:hAnsi="Times New Roman"/>
          <w:sz w:val="24"/>
          <w:szCs w:val="24"/>
          <w:lang w:val="uz-Latn-UZ"/>
        </w:rPr>
        <w:t>agistrant mustaqil ishni mavzularning xususiyatlaridan kelib chiqqan holda quyidagi shakllarda topshirishi mumkin.</w:t>
      </w:r>
    </w:p>
    <w:p w:rsidR="000B5FBE" w:rsidRDefault="000B5FBE" w:rsidP="000B5FBE">
      <w:pPr>
        <w:pStyle w:val="a4"/>
        <w:ind w:firstLine="708"/>
        <w:jc w:val="both"/>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sz w:val="24"/>
          <w:szCs w:val="24"/>
          <w:lang w:val="en-US"/>
        </w:rPr>
        <w:t>Adabiyotlar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yicha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referat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konspektlar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tayyorlash</w:t>
      </w:r>
      <w:proofErr w:type="spellEnd"/>
      <w:r>
        <w:rPr>
          <w:rFonts w:ascii="Times New Roman" w:hAnsi="Times New Roman"/>
          <w:sz w:val="24"/>
          <w:szCs w:val="24"/>
          <w:lang w:val="en-US"/>
        </w:rPr>
        <w:t xml:space="preserve">. </w:t>
      </w:r>
    </w:p>
    <w:p w:rsidR="000B5FBE" w:rsidRDefault="000B5FBE" w:rsidP="000B5FBE">
      <w:pPr>
        <w:pStyle w:val="a4"/>
        <w:ind w:firstLine="708"/>
        <w:jc w:val="both"/>
        <w:rPr>
          <w:rFonts w:ascii="Times New Roman" w:hAnsi="Times New Roman"/>
          <w:sz w:val="24"/>
          <w:szCs w:val="24"/>
          <w:lang w:val="en-US"/>
        </w:rPr>
      </w:pPr>
      <w:r>
        <w:rPr>
          <w:rFonts w:ascii="Times New Roman" w:hAnsi="Times New Roman"/>
          <w:sz w:val="24"/>
          <w:szCs w:val="24"/>
          <w:lang w:val="en-US"/>
        </w:rPr>
        <w:t xml:space="preserve">2. </w:t>
      </w:r>
      <w:proofErr w:type="spellStart"/>
      <w:r>
        <w:rPr>
          <w:rFonts w:ascii="Times New Roman" w:hAnsi="Times New Roman"/>
          <w:sz w:val="24"/>
          <w:szCs w:val="24"/>
          <w:lang w:val="en-US"/>
        </w:rPr>
        <w:t>Slaydlar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tayyorlash</w:t>
      </w:r>
      <w:proofErr w:type="spellEnd"/>
      <w:r>
        <w:rPr>
          <w:rFonts w:ascii="Times New Roman" w:hAnsi="Times New Roman"/>
          <w:sz w:val="24"/>
          <w:szCs w:val="24"/>
          <w:lang w:val="en-US"/>
        </w:rPr>
        <w:t>.</w:t>
      </w:r>
    </w:p>
    <w:p w:rsidR="000B5FBE" w:rsidRDefault="000B5FBE" w:rsidP="000B5FBE">
      <w:pPr>
        <w:pStyle w:val="a4"/>
        <w:ind w:firstLine="708"/>
        <w:jc w:val="both"/>
        <w:rPr>
          <w:rFonts w:ascii="Times New Roman" w:hAnsi="Times New Roman"/>
          <w:sz w:val="24"/>
          <w:szCs w:val="24"/>
          <w:lang w:val="en-US"/>
        </w:rPr>
      </w:pPr>
      <w:r>
        <w:rPr>
          <w:rFonts w:ascii="Times New Roman" w:hAnsi="Times New Roman"/>
          <w:sz w:val="24"/>
          <w:szCs w:val="24"/>
          <w:lang w:val="en-US"/>
        </w:rPr>
        <w:t xml:space="preserve">3. </w:t>
      </w:r>
      <w:proofErr w:type="spellStart"/>
      <w:r>
        <w:rPr>
          <w:rFonts w:ascii="Times New Roman" w:hAnsi="Times New Roman"/>
          <w:sz w:val="24"/>
          <w:szCs w:val="24"/>
          <w:lang w:val="en-US"/>
        </w:rPr>
        <w:t>Grafikli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organayzerlar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tayyorlash</w:t>
      </w:r>
      <w:proofErr w:type="spellEnd"/>
      <w:r>
        <w:rPr>
          <w:rFonts w:ascii="Times New Roman" w:hAnsi="Times New Roman"/>
          <w:sz w:val="24"/>
          <w:szCs w:val="24"/>
          <w:lang w:val="en-US"/>
        </w:rPr>
        <w:t>.</w:t>
      </w:r>
    </w:p>
    <w:p w:rsidR="000B5FBE" w:rsidRDefault="000B5FBE" w:rsidP="000B5FBE">
      <w:pPr>
        <w:pStyle w:val="a4"/>
        <w:ind w:firstLine="708"/>
        <w:jc w:val="both"/>
        <w:rPr>
          <w:rFonts w:ascii="Times New Roman" w:hAnsi="Times New Roman"/>
          <w:sz w:val="24"/>
          <w:szCs w:val="24"/>
          <w:lang w:val="en-US"/>
        </w:rPr>
      </w:pPr>
      <w:r>
        <w:rPr>
          <w:rFonts w:ascii="Times New Roman" w:hAnsi="Times New Roman"/>
          <w:sz w:val="24"/>
          <w:szCs w:val="24"/>
          <w:lang w:val="en-US"/>
        </w:rPr>
        <w:t xml:space="preserve">4. </w:t>
      </w:r>
      <w:proofErr w:type="spellStart"/>
      <w:r>
        <w:rPr>
          <w:rFonts w:ascii="Times New Roman" w:hAnsi="Times New Roman"/>
          <w:sz w:val="24"/>
          <w:szCs w:val="24"/>
          <w:lang w:val="en-US"/>
        </w:rPr>
        <w:t>Misollar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to‘</w:t>
      </w:r>
      <w:proofErr w:type="gramEnd"/>
      <w:r>
        <w:rPr>
          <w:rFonts w:ascii="Times New Roman" w:hAnsi="Times New Roman"/>
          <w:sz w:val="24"/>
          <w:szCs w:val="24"/>
          <w:lang w:val="en-US"/>
        </w:rPr>
        <w:t>plash</w:t>
      </w:r>
      <w:proofErr w:type="spellEnd"/>
      <w:r>
        <w:rPr>
          <w:rFonts w:ascii="Times New Roman" w:hAnsi="Times New Roman"/>
          <w:sz w:val="24"/>
          <w:szCs w:val="24"/>
          <w:lang w:val="en-US"/>
        </w:rPr>
        <w:t>.</w:t>
      </w:r>
    </w:p>
    <w:p w:rsidR="000B5FBE" w:rsidRDefault="000B5FBE" w:rsidP="000B5FBE">
      <w:pPr>
        <w:pStyle w:val="a4"/>
        <w:ind w:firstLine="708"/>
        <w:jc w:val="both"/>
        <w:rPr>
          <w:rFonts w:ascii="Times New Roman" w:hAnsi="Times New Roman"/>
          <w:sz w:val="24"/>
          <w:szCs w:val="24"/>
          <w:lang w:val="en-US"/>
        </w:rPr>
      </w:pPr>
      <w:r>
        <w:rPr>
          <w:rFonts w:ascii="Times New Roman" w:hAnsi="Times New Roman"/>
          <w:sz w:val="24"/>
          <w:szCs w:val="24"/>
          <w:lang w:val="en-US"/>
        </w:rPr>
        <w:t xml:space="preserve">5. </w:t>
      </w:r>
      <w:proofErr w:type="spellStart"/>
      <w:r>
        <w:rPr>
          <w:rFonts w:ascii="Times New Roman" w:hAnsi="Times New Roman"/>
          <w:sz w:val="24"/>
          <w:szCs w:val="24"/>
          <w:lang w:val="en-US"/>
        </w:rPr>
        <w:t>Lingvistik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tayyorlash</w:t>
      </w:r>
      <w:proofErr w:type="spellEnd"/>
      <w:r>
        <w:rPr>
          <w:rFonts w:ascii="Times New Roman" w:hAnsi="Times New Roman"/>
          <w:sz w:val="24"/>
          <w:szCs w:val="24"/>
          <w:lang w:val="en-US"/>
        </w:rPr>
        <w:t>.</w:t>
      </w:r>
    </w:p>
    <w:p w:rsidR="000B5FBE" w:rsidRDefault="000B5FBE" w:rsidP="000B5FBE">
      <w:pPr>
        <w:pStyle w:val="a4"/>
        <w:ind w:firstLine="708"/>
        <w:jc w:val="both"/>
        <w:rPr>
          <w:rFonts w:ascii="Times New Roman" w:hAnsi="Times New Roman"/>
          <w:sz w:val="24"/>
          <w:szCs w:val="24"/>
          <w:lang w:val="en-US"/>
        </w:rPr>
      </w:pPr>
      <w:proofErr w:type="spellStart"/>
      <w:r>
        <w:rPr>
          <w:rFonts w:ascii="Times New Roman" w:hAnsi="Times New Roman"/>
          <w:sz w:val="24"/>
          <w:szCs w:val="24"/>
          <w:lang w:val="en-US"/>
        </w:rPr>
        <w:t>Izoh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Mazkur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ro‘</w:t>
      </w:r>
      <w:proofErr w:type="gramEnd"/>
      <w:r>
        <w:rPr>
          <w:rFonts w:ascii="Times New Roman" w:hAnsi="Times New Roman"/>
          <w:sz w:val="24"/>
          <w:szCs w:val="24"/>
          <w:lang w:val="en-US"/>
        </w:rPr>
        <w:t>yxatdagi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mavzulardan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mustaqil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ta’lim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mashg‘ulotlari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ajratilgan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hajmiga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holda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foydalanish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tavsiya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etiladi</w:t>
      </w:r>
      <w:proofErr w:type="spellEnd"/>
      <w:r>
        <w:rPr>
          <w:rFonts w:ascii="Times New Roman" w:hAnsi="Times New Roman"/>
          <w:sz w:val="24"/>
          <w:szCs w:val="24"/>
          <w:lang w:val="en-US"/>
        </w:rPr>
        <w:t>.</w:t>
      </w:r>
    </w:p>
    <w:p w:rsidR="00F12C76" w:rsidRPr="000B5FBE" w:rsidRDefault="00F12C76" w:rsidP="006C0B77">
      <w:pPr>
        <w:spacing w:after="0"/>
        <w:ind w:firstLine="709"/>
        <w:jc w:val="both"/>
        <w:rPr>
          <w:lang w:val="en-US"/>
        </w:rPr>
      </w:pPr>
    </w:p>
    <w:sectPr w:rsidR="00F12C76" w:rsidRPr="000B5FB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4F70D9"/>
    <w:multiLevelType w:val="hybridMultilevel"/>
    <w:tmpl w:val="E4F8A136"/>
    <w:lvl w:ilvl="0" w:tplc="68EC950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FBE"/>
    <w:rsid w:val="000B5FBE"/>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596AD9-9441-45E1-ADE3-A9B3EB6DF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5FBE"/>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0B5FBE"/>
    <w:rPr>
      <w:rFonts w:ascii="Malgun Gothic" w:eastAsia="Malgun Gothic" w:hAnsi="Malgun Gothic" w:cs="Mangal"/>
      <w:lang w:bidi="hi-IN"/>
    </w:rPr>
  </w:style>
  <w:style w:type="paragraph" w:styleId="a4">
    <w:name w:val="No Spacing"/>
    <w:link w:val="a3"/>
    <w:uiPriority w:val="1"/>
    <w:qFormat/>
    <w:rsid w:val="000B5FBE"/>
    <w:pPr>
      <w:spacing w:after="0" w:line="240" w:lineRule="auto"/>
    </w:pPr>
    <w:rPr>
      <w:rFonts w:ascii="Malgun Gothic" w:eastAsia="Malgun Gothic" w:hAnsi="Malgun Gothic" w:cs="Mangal"/>
      <w:lang w:bidi="hi-IN"/>
    </w:rPr>
  </w:style>
  <w:style w:type="paragraph" w:customStyle="1" w:styleId="Normal2">
    <w:name w:val="Normal2"/>
    <w:rsid w:val="000B5FB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990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2025-02-15T16:46:00Z</dcterms:created>
  <dcterms:modified xsi:type="dcterms:W3CDTF">2025-02-15T16:47:00Z</dcterms:modified>
</cp:coreProperties>
</file>