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B0E799" w14:textId="336C0310" w:rsidR="00D77607" w:rsidRPr="00D77607" w:rsidRDefault="00D77607" w:rsidP="00D77607">
      <w:pPr>
        <w:jc w:val="center"/>
        <w:rPr>
          <w:rFonts w:ascii="Times New Roman" w:hAnsi="Times New Roman" w:cs="Times New Roman"/>
          <w:b/>
          <w:bCs/>
          <w:sz w:val="28"/>
          <w:szCs w:val="28"/>
          <w:lang w:val="en-US"/>
        </w:rPr>
      </w:pPr>
      <w:r w:rsidRPr="00D77607">
        <w:rPr>
          <w:rFonts w:ascii="Times New Roman" w:hAnsi="Times New Roman" w:cs="Times New Roman"/>
          <w:b/>
          <w:bCs/>
          <w:sz w:val="28"/>
          <w:szCs w:val="28"/>
          <w:lang w:val="en-US"/>
        </w:rPr>
        <w:t>10-MAVZU</w:t>
      </w:r>
    </w:p>
    <w:p w14:paraId="30CF35D9" w14:textId="4A925CB0" w:rsidR="0093545A" w:rsidRDefault="0093545A" w:rsidP="00D77607">
      <w:pPr>
        <w:jc w:val="both"/>
        <w:rPr>
          <w:rFonts w:ascii="Times New Roman" w:hAnsi="Times New Roman" w:cs="Times New Roman"/>
          <w:b/>
          <w:bCs/>
          <w:sz w:val="28"/>
          <w:szCs w:val="28"/>
          <w:lang w:val="en-US"/>
        </w:rPr>
      </w:pPr>
    </w:p>
    <w:p w14:paraId="0950EA5F" w14:textId="77777777" w:rsidR="008A7B0A" w:rsidRPr="008A7B0A" w:rsidRDefault="008A7B0A" w:rsidP="008A7B0A">
      <w:pPr>
        <w:jc w:val="center"/>
        <w:rPr>
          <w:rFonts w:ascii="Times New Roman" w:hAnsi="Times New Roman" w:cs="Times New Roman"/>
          <w:b/>
          <w:bCs/>
          <w:sz w:val="28"/>
          <w:szCs w:val="28"/>
          <w:lang w:val="de-DE"/>
        </w:rPr>
      </w:pPr>
      <w:r w:rsidRPr="008A7B0A">
        <w:rPr>
          <w:rFonts w:ascii="Times New Roman" w:hAnsi="Times New Roman" w:cs="Times New Roman"/>
          <w:b/>
          <w:bCs/>
          <w:sz w:val="28"/>
          <w:szCs w:val="28"/>
          <w:lang w:val="de-DE"/>
        </w:rPr>
        <w:t>TARJIMA VA INTERPRETATSIYA</w:t>
      </w:r>
    </w:p>
    <w:p w14:paraId="003BE840" w14:textId="77777777" w:rsidR="008A7B0A" w:rsidRPr="008A7B0A" w:rsidRDefault="008A7B0A" w:rsidP="008A7B0A">
      <w:pPr>
        <w:jc w:val="both"/>
        <w:rPr>
          <w:rFonts w:ascii="Times New Roman" w:hAnsi="Times New Roman" w:cs="Times New Roman"/>
          <w:lang w:val="de-DE"/>
        </w:rPr>
      </w:pPr>
    </w:p>
    <w:p w14:paraId="15499966" w14:textId="77777777" w:rsidR="008A7B0A" w:rsidRPr="008A7B0A" w:rsidRDefault="008A7B0A" w:rsidP="008A7B0A">
      <w:pPr>
        <w:jc w:val="both"/>
        <w:rPr>
          <w:rFonts w:ascii="Times New Roman" w:hAnsi="Times New Roman" w:cs="Times New Roman"/>
          <w:b/>
          <w:bCs/>
          <w:lang w:val="de-DE"/>
        </w:rPr>
      </w:pPr>
      <w:r w:rsidRPr="008A7B0A">
        <w:rPr>
          <w:rFonts w:ascii="Times New Roman" w:hAnsi="Times New Roman" w:cs="Times New Roman"/>
          <w:b/>
          <w:bCs/>
          <w:lang w:val="de-DE"/>
        </w:rPr>
        <w:t>Dars rejasi:</w:t>
      </w:r>
    </w:p>
    <w:p w14:paraId="5D7F053C" w14:textId="77777777" w:rsidR="008A7B0A" w:rsidRDefault="008A7B0A" w:rsidP="008A7B0A">
      <w:pPr>
        <w:jc w:val="both"/>
        <w:rPr>
          <w:rFonts w:ascii="Times New Roman" w:hAnsi="Times New Roman" w:cs="Times New Roman"/>
          <w:lang w:val="de-DE"/>
        </w:rPr>
      </w:pPr>
    </w:p>
    <w:p w14:paraId="438E8FBC" w14:textId="0938A783"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1.</w:t>
      </w:r>
      <w:r w:rsidRPr="008A7B0A">
        <w:rPr>
          <w:rFonts w:ascii="Times New Roman" w:hAnsi="Times New Roman" w:cs="Times New Roman"/>
          <w:lang w:val="de-DE"/>
        </w:rPr>
        <w:tab/>
        <w:t>Interpretatsiya haqida tushuncha</w:t>
      </w:r>
    </w:p>
    <w:p w14:paraId="4F2CF18C" w14:textId="1F4A2213" w:rsid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2.</w:t>
      </w:r>
      <w:r w:rsidRPr="008A7B0A">
        <w:rPr>
          <w:rFonts w:ascii="Times New Roman" w:hAnsi="Times New Roman" w:cs="Times New Roman"/>
          <w:lang w:val="de-DE"/>
        </w:rPr>
        <w:tab/>
        <w:t>Tarjimonning interpretatsiyaviy mavqei</w:t>
      </w:r>
    </w:p>
    <w:p w14:paraId="7A09FFC7" w14:textId="6CA65D11" w:rsidR="008A7B0A" w:rsidRDefault="008A7B0A" w:rsidP="008A7B0A">
      <w:pPr>
        <w:jc w:val="both"/>
        <w:rPr>
          <w:rFonts w:ascii="Times New Roman" w:hAnsi="Times New Roman" w:cs="Times New Roman"/>
          <w:lang w:val="de-DE"/>
        </w:rPr>
      </w:pPr>
    </w:p>
    <w:p w14:paraId="0800E6BE" w14:textId="7C2063C1" w:rsidR="008A7B0A" w:rsidRPr="008A7B0A" w:rsidRDefault="008A7B0A" w:rsidP="008A7B0A">
      <w:pPr>
        <w:jc w:val="both"/>
        <w:rPr>
          <w:rFonts w:ascii="Times New Roman" w:hAnsi="Times New Roman" w:cs="Times New Roman"/>
          <w:i/>
          <w:iCs/>
          <w:lang w:val="de-DE"/>
        </w:rPr>
      </w:pPr>
      <w:r w:rsidRPr="008A7B0A">
        <w:rPr>
          <w:rFonts w:ascii="Times New Roman" w:hAnsi="Times New Roman" w:cs="Times New Roman"/>
          <w:b/>
          <w:bCs/>
          <w:lang w:val="de-DE"/>
        </w:rPr>
        <w:t>Tayanch so‘z va iboralar:</w:t>
      </w:r>
      <w:r>
        <w:rPr>
          <w:rFonts w:ascii="Times New Roman" w:hAnsi="Times New Roman" w:cs="Times New Roman"/>
          <w:lang w:val="de-DE"/>
        </w:rPr>
        <w:t xml:space="preserve"> </w:t>
      </w:r>
      <w:r w:rsidRPr="008A7B0A">
        <w:rPr>
          <w:rFonts w:ascii="Times New Roman" w:hAnsi="Times New Roman" w:cs="Times New Roman"/>
          <w:i/>
          <w:iCs/>
          <w:lang w:val="de-DE"/>
        </w:rPr>
        <w:t>i</w:t>
      </w:r>
      <w:r w:rsidRPr="008A7B0A">
        <w:rPr>
          <w:rFonts w:ascii="Times New Roman" w:hAnsi="Times New Roman" w:cs="Times New Roman"/>
          <w:i/>
          <w:iCs/>
          <w:lang w:val="de-DE"/>
        </w:rPr>
        <w:t>nterpretatsiya, qayta yaratish, tarjimon, asl nusxa, tarjima, matn, tarjimonning interpretatsiyaviy mavqei, tarjima jarayoni, tarjima bosqichlari, tarjima qusurlari.</w:t>
      </w:r>
    </w:p>
    <w:p w14:paraId="454D450B" w14:textId="77777777" w:rsidR="008A7B0A" w:rsidRPr="008A7B0A" w:rsidRDefault="008A7B0A" w:rsidP="008A7B0A">
      <w:pPr>
        <w:jc w:val="both"/>
        <w:rPr>
          <w:rFonts w:ascii="Times New Roman" w:hAnsi="Times New Roman" w:cs="Times New Roman"/>
          <w:lang w:val="de-DE"/>
        </w:rPr>
      </w:pPr>
    </w:p>
    <w:p w14:paraId="0A3B7A81" w14:textId="77777777" w:rsidR="008A7B0A" w:rsidRPr="008A7B0A" w:rsidRDefault="008A7B0A" w:rsidP="008A7B0A">
      <w:pPr>
        <w:jc w:val="both"/>
        <w:rPr>
          <w:rFonts w:ascii="Times New Roman" w:hAnsi="Times New Roman" w:cs="Times New Roman"/>
          <w:lang w:val="de-DE"/>
        </w:rPr>
      </w:pPr>
    </w:p>
    <w:p w14:paraId="26D756E5"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Interpretatsiya haqida tushuncha</w:t>
      </w:r>
    </w:p>
    <w:p w14:paraId="2E2D533A"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Interpretatsiya lotincha interpretasio so‘zidan olingan bo‘lib, tushuntirish ma’nosini bildiradi.</w:t>
      </w:r>
    </w:p>
    <w:p w14:paraId="1BDEAF37"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Interpretatsiyalash – sharhlash, izohlash, talqin qilish, tushuntirib berish, ochish: biror-bir fikrning ma’nosini ochish, u yoki bu matnni izohlash demakdir.</w:t>
      </w:r>
    </w:p>
    <w:p w14:paraId="48F48DF9"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Agarda asl nusxa muallifi voqelikni badiiy talqin qilsa, tarjimon asliyatni boshqa til vositalari yordamida qayta talqin qilishi kerak. Aslida hayotda har bir jarayon qabul qilish va talqin etish tarzida kechadi. Tarjimaga nisbatan ham shunday deyish mumkin. “Bunda quyidagi uch nuqtaga e’tiborni qaratish lozim: a) asarning ob’ektiv ma’nosini aniqlash; b) tarjimonning interpretatsiyaviy mavqei; v) shu mavqedan turib, asarning ob’ektiv mohiyatini interpretatsiya qilish – asarni tarjima qilish konsepsiyasi va nimalarni o‘zgartirish zaruratini aniqlash.</w:t>
      </w:r>
    </w:p>
    <w:p w14:paraId="68F75DC0"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Demak, tarjima hamma vaqt muayyan darajada interpretatsiyadir” .</w:t>
      </w:r>
    </w:p>
    <w:p w14:paraId="74D475D9"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Boshqa tildagi ayrim so‘z va iboralar, jumlalar agar o‘ziday olinadigan bo‘lsa, bunday tarjimadan hech qanday ma’no chiqmaydi. Bunday hollarda asliyatda bo‘lmagan ayrim so‘zlar tarjimada “qo‘shiladi”. Aslida esa “qo‘shilgan” narsaning o‘rni shaklan asliyatda bo‘lmasa ham, mazmunan biz uni bor deb bilamiz. Masalan,  Maksim Gorkiyning “Человек звучит гордо!” degan mashhur hikmatini so‘zma-so‘z tarjima qilsa, “Odam mag‘rur jaranglar!” tarzida bo‘ladiki, bunda mazmun mavhum qoladi. Shuning uchun uni bir so‘z qo‘shib, “Inson so‘zi mag‘rur jaranglar!” deb tarjima qilish maqsadga muvofiq. Chunki rus tilidagi gapda bu so‘z aks etmasa-da, matnda uning borligi anglashilib turadi. Maqsud Shayxzoda bir she’rida bu fikrni tazmin sifatida quyidagicha tarjima qilib oladi:</w:t>
      </w:r>
    </w:p>
    <w:p w14:paraId="15BA03A4" w14:textId="77777777" w:rsidR="008A7B0A" w:rsidRPr="008A7B0A" w:rsidRDefault="008A7B0A" w:rsidP="008A7B0A">
      <w:pPr>
        <w:jc w:val="both"/>
        <w:rPr>
          <w:rFonts w:ascii="Times New Roman" w:hAnsi="Times New Roman" w:cs="Times New Roman"/>
          <w:lang w:val="de-DE"/>
        </w:rPr>
      </w:pPr>
    </w:p>
    <w:p w14:paraId="1C2A5D28"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Mag‘rur jaranglaydi inson degan so‘z!</w:t>
      </w:r>
    </w:p>
    <w:p w14:paraId="20449250"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Yoki taniqli polyak adibi Stanislav Yeji Lesning “Одряхлевшись, восклицательный знак становится вопросительным” degan hikmatini  J.Kamol: “Alif qartayib, dol bo‘ldi”, R.Parfi: “Undov undalib-undalib savolga aylandi” tarzida tarjima qilishadi. So‘zma-so‘z tarjimasi esa: “Undov alomati shalag‘i chiqib, savol alomatiga aylanadi”. Erkin tarjima qilsa: “Belidan madori ketib, undov alomati savol alomatiga aylanadi” shaklida bo‘ladi. Yoki: “Undov belgisi qariganda so‘roq alomatiga aylanadi”. Yana: “Qartayganda undov belgisi ham so‘roq alomatiga aylanadi” .</w:t>
      </w:r>
    </w:p>
    <w:p w14:paraId="01ADC52F"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xml:space="preserve">Bu hikmatda ifodalangan undov belgisining so‘roqqa aylanishi majoziy ma’noda bo‘lib, undan maqsad har qanday tik qomat bir kun kelib xam bo‘ladi demakdir. Buni to‘¬g‘ri tushungan Jamol Kamol Sharq mumtoz adabiyotidagi an’analardan kelib chiqib, uni «Alif qartayib, dol bo‘ldi» tarzida shaklan emas, balki mazmunan tarjima qiladi. Chunki o‘tmish so‘z san’atida arab </w:t>
      </w:r>
      <w:r w:rsidRPr="008A7B0A">
        <w:rPr>
          <w:rFonts w:ascii="Times New Roman" w:hAnsi="Times New Roman" w:cs="Times New Roman"/>
          <w:lang w:val="de-DE"/>
        </w:rPr>
        <w:lastRenderedPageBreak/>
        <w:t xml:space="preserve">yozuvidagi alif (a) harfi tik, to‘g‘ri, dol (d) esa egilgan, xam qomatni bildirib keladi. Ayni jihatdan uning tarjimasini muvaffaqiyatli chiqqan deyish mumkin. </w:t>
      </w:r>
    </w:p>
    <w:p w14:paraId="02723F72"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Yoki:</w:t>
      </w:r>
    </w:p>
    <w:p w14:paraId="73F8A1B3"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...Как ни кроши, а мой родной сын − капитан и командир батареи, это не шутка!”</w:t>
      </w:r>
    </w:p>
    <w:p w14:paraId="24604417"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“−...Nima desang, de, o‘z pushti kamarimdan bo‘lgan o‘g‘lim − kapitan, batareya komandiri, bu hazil gap emas”.</w:t>
      </w:r>
    </w:p>
    <w:p w14:paraId="1C20E021"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Родной сын birikmasidagi родной so‘zini o‘zbek tiliga xuddi shunday so‘z bilan berib bo‘lmaydi. Shuning uchun tarjimon bu so‘zning o‘rniga pushti kamarimdan bo‘lgan so‘zlarini qo‘shib tarjima qilgan, ammo bu bilan originalga xilof yetmagan, aksincha, u sodda va tushunarli bo‘lib chiqqan. “Это не шутка” iborasini “bu hazil gap emas” deb tarjima qilganda ham “gap”ning qo‘shilishi interpretatsiyadir.</w:t>
      </w:r>
    </w:p>
    <w:p w14:paraId="34430730"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B. Gorbatovning “Bo‘ysunmaganlar” povestida o‘qiymiz: “Горько было ему, что не доведется больше покурить с ребятами махорки в блиндаже, не бежат ему вместе, рядом в атаку, когда смертельно весело горохочет артиллерийский гром, смерть жарко дишит в лицо и от ее дыхания жутко, и весело, и буйно на душе...” Смертельно весело frazeologik birikmasi asarning qayta tarjimasida sho‘x-sho‘x otib turganda deb berilgan. Vaholanki, N.Alimuhammedov tarjimasida bu birikma ajal bozorini qizitib deb juda yaxshi interpretatsiya qilingan edi.</w:t>
      </w:r>
    </w:p>
    <w:p w14:paraId="0A7794EE"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Ba’zan ayni bir ibora bir xil kontekst ichida o‘zbekcha ekvivalenti bilan tarjima qilinsa, boshqa kontekst ichida interpretatsiya yo‘li bilan ag‘dariladi. Chunonchi, L.N.Tolstoyning “Anna Karenina” romanidan olingan quyidagi ikki misolni qiyos qiling:</w:t>
      </w:r>
    </w:p>
    <w:p w14:paraId="289935CB"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1. “Она увидала их, помогла, втянулась, и теперь все семейство на ее руках”.</w:t>
      </w:r>
    </w:p>
    <w:p w14:paraId="18B18397"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“Anna ingliz oilasining ahvolini ko‘rib yordam berdi, xabar olib turdi, hozir shu oila Annaning qo‘lida”.</w:t>
      </w:r>
    </w:p>
    <w:p w14:paraId="6D11FF56"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2. “−Да, если правду сказать, мне не понравился тон Весловского, − сказала Даря Александровна, желая переменить разговор.</w:t>
      </w:r>
    </w:p>
    <w:p w14:paraId="667D6B05"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Ha, rostini aytsam, Veslovskiyning qiliqlari menga yoqmadi, − dedi Darya Aleksandrovna, gapni boshqa yoqqa burish maqsadida.</w:t>
      </w:r>
    </w:p>
    <w:p w14:paraId="747F847E"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Ах, нисколько! Это щекотит Алексея и больше ничего; но он мальчик и весь у меня на руках; ти понимаешь, я им управляю, как хочу. Он все равно что твой Гриша...”</w:t>
      </w:r>
    </w:p>
    <w:p w14:paraId="5B0AC245"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E, parvoyimga ham kelmaydi! Faqat Alekseyning qitig‘iga tegadi, xolos; lekin qip-qizil yosh bola, “gah” desam, qo‘limga qo‘nadi; bilasan-ku, bunaqalarni qo‘limda qo‘g‘irchoq qilib o‘ynayman. Bu nimayu, sening Grishang nima...”</w:t>
      </w:r>
    </w:p>
    <w:p w14:paraId="46CBAB81"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Birinchi misolda na rukax idiomasiga qo‘lida idiomasi aynan muvofiq tushgan. Ikkinchi misolda esa xuddi o‘sha idioma tamomila boshqa kontekstda boshqacha ma’no kasb etadi. Ehtimol, bu holda ham uni mening qo‘limda deb tarjima qilinsa, muddao anglashilar. Ammo Mirzakalon Ismoiliy o‘sha idiomani bu safar “gah” desam, qo‘limga qo‘nadi degan matal bilan tarjima qilib, iboraning ma’nosini to‘la ro‘yobga chiqaradi; мальчик сo‘zi ham qip-qizil yosh bola deb muvaffaqiyatli interpretatsiya qilingan .</w:t>
      </w:r>
    </w:p>
    <w:p w14:paraId="0E7F56EC"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xml:space="preserve">“So‘zlarning soniga qarab tarjima qilish mazmunni butunlay o‘zgartirib yuborishi mumkin. Masalan, mashhur hind yozuvchisi R.Tagorning asari asosida ishlangan “Дочь Ганга” nomli dramatik asar o‘zbek tiliga “Gang daryosining qizi” deb tarjima qilingan. Ko‘rinib turibdiki, originalda ikkita so‘z bo‘lsa, tarjimada uchta bo‘lib qolgan. Tarjimon Asqad Muxtor to‘g‘ri ish qilgan. Chunki, agar: “Gangning qizi” deyilganida edi, birinchidan, gang deganimizning o‘zi nima ekanligi ko‘pchilik uchun tushunarli bo‘lmasdi. Ikkinchidan, o‘zbek tilida gang so‘zining o‘z ma’nosi bor. Samarqand, Buxoro tomonlarda esa taxta kanasini ana shu nom bilan ataydilar. Demak, “Дочь Ганга”  birikmasi so‘zma-so‘z tarjima qilinib, “Gangning qizi” deyilganida, </w:t>
      </w:r>
      <w:r w:rsidRPr="008A7B0A">
        <w:rPr>
          <w:rFonts w:ascii="Times New Roman" w:hAnsi="Times New Roman" w:cs="Times New Roman"/>
          <w:lang w:val="de-DE"/>
        </w:rPr>
        <w:lastRenderedPageBreak/>
        <w:t>aytilmoqchi bo‘lgan fikr siyqalashib ketgan bo‘lur edi. Chunki, bunday deganda oddiy o‘zbek kitobxonining ko‘z o‘ngiga nima kelsa keladiki, ammo Hindistondan oqib o‘tuvchi Gang nomli daryo kelmaydi” .</w:t>
      </w:r>
    </w:p>
    <w:p w14:paraId="46365428" w14:textId="77777777" w:rsidR="008A7B0A" w:rsidRPr="008A7B0A" w:rsidRDefault="008A7B0A" w:rsidP="008A7B0A">
      <w:pPr>
        <w:jc w:val="both"/>
        <w:rPr>
          <w:rFonts w:ascii="Times New Roman" w:hAnsi="Times New Roman" w:cs="Times New Roman"/>
          <w:lang w:val="de-DE"/>
        </w:rPr>
      </w:pPr>
    </w:p>
    <w:p w14:paraId="2D4753C1"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Tarjimonning interpretatsiyaviy mavqei</w:t>
      </w:r>
    </w:p>
    <w:p w14:paraId="2464E90F"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xml:space="preserve">Ma’lumki, tarjimadan maqsad bir tilda yaratilgan asarni butun ma’no qirralari va badiiy jozibasi bilan boshqa tilda qayta yaratishdan iborat: “Tarjima jarayonida bir tilning materiali o‘rnini boshqa tilning materiali egallaydi, binobarin, tilga aloqador barcha vositalari tarjimonning o‘zi, o‘z ona tilida, yangidan yaratadi; shunday qilib, til jabhasida tarjima − chinakam original ijod demakdir” . </w:t>
      </w:r>
    </w:p>
    <w:p w14:paraId="4E4DA509"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Lekin tarjimonning butun ijodkorligi til sohasida bo‘ladi. U yangi asar yaratmaydi, balki bir tilda yaratilgan asarni ikkinchi til vositalari bilan asliga muvofiq qayta yaratadi. Bunda uning har ikki tilni, har ikki xalq adabiyotini qanchalik bilishi, asliyatni qanchalik tushunishi va talqin qilishi, iste’dodi, salohiyati, so‘z boyligi va undan foydalanish mahorati muhim ahamiyat kasb etadi. Shuning uchun ham tarjimashunoslar tarjima jarayonini asl nusxani tushunish, talqin etish va tarjima qilish tarzida uch bosqichga bo‘ladilar. Bu bosqichlarning barchasi bir-biri bilan chambarchas bog‘liq. Chindan ham, asarni barcha qirralari bilan yaxshi tushunib olmagan tarjimon uni to‘g‘ri talqin qilolmaydi, to‘g‘ri talqin qilolmagach, tarjima asliga muvofiq chiqmaydi. Bugina emas. Tarjimon faqat matnning o‘zini tushunibgina qolmay, matn ortidagi ma’noni ham ilg‘ashi, muallifning faqat aytgan gaplarinigina emas, balki aytolmay ichida qolgan yoki ishora qilib ketgan gaplarini ham farosat bilan anglashi, asardagi nozik ramzu imolarni daqiq did bilan his qilishi kerak bo‘ladi.</w:t>
      </w:r>
    </w:p>
    <w:p w14:paraId="13C13A24"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O‘z-o‘zidan, har bir tilning o‘ziga xos xususiyatlari va afzalliklari bo‘ladi. Bir tilda shundoqqina bilinib turgan narsa ikkinchi tilga ko‘chganida mavhumlashishi mumkin. Bir tilda ko‘p ma’noli bo‘lgan so‘z ikkinchi tilda faqat bir ma’noni ifodalashi mumkin yoki aksincha. Ya’ni tarjimada ma’no kengayishi va torayishi hodisalari ham yuz berib turadi. Ana shunday paytda tarjimonning iste’dodi, tajribasi va mahorati qo‘l keladi. U ona tili boyligidan, u kifoya qilmasa, turli shevalardan zarur so‘zlarni topib, asl nusxada ifodalangan ma’noni tarjima tilida ham yarq etib yorqin, go‘zal va ta’sirchan gavdalantirishga erishadi. Ko‘p ma’noli so‘zlar tarjimasida yo qo‘shicha so‘zlar vositasida uning barcha ma’no qirralarini aks ettirishga intiladi, buning iloji bo‘lmaganda esa o‘sha so‘zning eng muhim asosiy ma’nosini berishga harakat qiladi.</w:t>
      </w:r>
    </w:p>
    <w:p w14:paraId="76E031D2"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“Mohir va no‘noq tarjimonning farqi shunda bilinadi: mohir tarjimon asar mazmunini, so‘z va iboralar ortida yashiringan imo-ishoralar, tagma’nolarni, muallifning maqsadi, g‘oyaviy niyatini chuqur anglab, asl nusxaning badiiy saviyasini teran his qilib tarjima qilsa, no‘noq tarjimon so‘zlarning o‘zini tarjima qilib qo‘ya qoladi, natijada asarning mazmuni, estetik ta’sirchanligini o‘quvchiga to‘la yetib bormaydi. Bunday tarjimada muallifning mahorati, uslubi deyarli sezilmaydi, so‘zlarning ma’no tovlanishlari, iboralarning uslubiy bo‘yoqlariga e’tibor berilmaydi” .</w:t>
      </w:r>
    </w:p>
    <w:p w14:paraId="11E42EB7"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So‘zni emas, harfni ko‘radigan, ma’noni anglamay, so‘zni sanaydigan iste’dodsiz, noshud tarjimonning men nima deymanu qo‘bizim nima deydi qabilida asarni buzib, ba’zida esa hatto asliga zid tarjima qilib qo‘yishiga oid  misollar, afsuski, tarjimachilikda ancha-muncha.</w:t>
      </w:r>
    </w:p>
    <w:p w14:paraId="79E0EBD5"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xml:space="preserve">Agar tarjimon asliyatning mazmunini tushunmasa, unga mutlaqo teskari tarjima yaratib qo‘yishi, biryoqlama talqin qilsa, siyqa tarjima vujudga kelishi mumkin. Har ikki holatda ham asliyatga nomuvofiq mazmun kelib chiqadi, so‘z va iboralar tarjimada o‘zgacha ma’no tashiydi. Chunonchi, taniqli tarjimashunos Korney Chukovskiy “Высокое искусство” kitobida shunday bir misolni keltiradi: “amerikalik zanji shoir Lengston Xyuzning “Qora Mariya” nomli she’rini rus tiliga avval M.Zenkevich tarjima qiladi. Bu tarjimaga ko‘ra, she’rda zanji yigitning qora tanli qizga ehtirosli </w:t>
      </w:r>
      <w:r w:rsidRPr="008A7B0A">
        <w:rPr>
          <w:rFonts w:ascii="Times New Roman" w:hAnsi="Times New Roman" w:cs="Times New Roman"/>
          <w:lang w:val="de-DE"/>
        </w:rPr>
        <w:lastRenderedPageBreak/>
        <w:t>muhabbati hikoya qilinadi. Ammo bu she’r V.Britanshskiy tomonidan ikkinchi marta tarjima qilinganda ma’lum bo‘ladiki, qora Mariya hech qanday zanji qiz emas, balki... mahbuslarni tashiydigan turma mashinasi ekan! Negrlar bu mashinaga shunaqa “laqab” bergan ekanlar. She’rda negrning shu mashinani ko‘rgandan keyin tahlikaga tushishi, qo‘rquv aralash tashvishlari tasvirlangan” .</w:t>
      </w:r>
    </w:p>
    <w:p w14:paraId="44C443EA"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Yoki Pahlavon Mahmudning quyidagi ruboiysi tarjimasini ko‘rib chiqaylik:</w:t>
      </w:r>
    </w:p>
    <w:p w14:paraId="386E3376"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Dar charx namonda, dar falak niz namak,</w:t>
      </w:r>
    </w:p>
    <w:p w14:paraId="76B90C55"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Dar jurmi Simoku dar Samak niz namak.</w:t>
      </w:r>
    </w:p>
    <w:p w14:paraId="341B0A3F"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Chashmi namak az xoni namak benamak ast,</w:t>
      </w:r>
    </w:p>
    <w:p w14:paraId="0C64E5FC"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Davrest, ki nest dar namak niz namak.</w:t>
      </w:r>
    </w:p>
    <w:p w14:paraId="15D7B8E2"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Ma’nosi: “Zaminni ko‘tarib turgan afsonaviy baliq Samakdan tortib to ko‘k toqi − asad burjidagi yulduz Simokkacha − na yerda tuz (ma’ni) bor, na osmonda! Tuz aslida tuz konining o‘zidan tuzsiz bo‘lib chiqmoqda − bu qanday zamonki, tuzda tuz yo‘q!”</w:t>
      </w:r>
    </w:p>
    <w:p w14:paraId="0FDC82C2"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So‘z o‘yini, o‘tkir kinoya, achchiq zaharxanda asosiga qurilgan ruboiyning o‘zbekchasida... ekologik fojia davri − XX asrning dardi o‘z aksini topgan. M.Abdulhakim “ummon” deb hatto Orolni nazarda tutishgacha borib yetgan:</w:t>
      </w:r>
    </w:p>
    <w:p w14:paraId="1990F8FD"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Yetti qa’r (?) yer qa’ri tuz, osmonda tuz,</w:t>
      </w:r>
    </w:p>
    <w:p w14:paraId="69ACB156"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Tuz to‘la sayyora ¬ham ummonda − tuz.</w:t>
      </w:r>
    </w:p>
    <w:p w14:paraId="211C2F9F"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Ko‘zda taqdir tuzlari ko‘z yoshima,</w:t>
      </w:r>
    </w:p>
    <w:p w14:paraId="515BB882"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Ne uchun yo‘q debki, bu tuzdonda tuz.</w:t>
      </w:r>
    </w:p>
    <w:p w14:paraId="46C23396"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Shu tariqa, bir she’r asosida boshqa bir she’r yaratish hollari, afsuski, tarjimachilik tajribasida ko‘p uchraydi.</w:t>
      </w:r>
    </w:p>
    <w:p w14:paraId="2341CB99"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“Voqelikni qayta yaratish metodikasini ishlab chiqish tarjima estetikasining ilk shartlaridan biridir. Gap tarjimonning personajlar, ular o‘rtasidagi konflikt sabablari, voqea sodir bo‘ladigan muhit va hokazolar haqida umuman konkret tasavvurga ega bo‘lishi xususidagina emas, balki tarjimonning ancha keng xabardorligi masalasida boryapti: tasvirlanayotgan voqealar ortida nima turibdi, chinakam xarakterlar, haqiqiy motivirovka nimadan iborat? Xullas, vaqt-soati kelguncha kitobxondan pinhon saqlangan va uni asta-sekin voqif qilinishi ko‘zda tutilgan narsalar haqida gap boradi. Masala shundaki, konfliktning borishi va yechimidan xabardor bo‘lgani, xarakterlarni ravshan tasavvur qilgani holda, tarjimon muallifning bular barchasini kitobxonga darhol aytib qo‘ya qolmasligini, vaqti kelgunga qadar muallifning personajga yoki personajlar o‘rtasidagi aloqalarga o‘z munosabatini pinhon tutganini unutib qo‘ygani holda, adibning umumiy niyatini anglab yetmay, bularning barchasini kitobxonga barvaqt aytib qo‘yishi mumkin. Tarjimon o‘zining voqealardan voqif ekanligidan foydalanib, hali yozuvchi aytmay turgan narsani oshkor etib, og‘zidan gullaydi-qo‘yadi. Yana shunday ham bo‘ladiki, tarjimon uslubiy vositalarning o‘zi bilanoq asarning semantik (ma’noviy) aloqalarini keragidan oldin ochib qo‘yadi.</w:t>
      </w:r>
    </w:p>
    <w:p w14:paraId="2E2C78B6"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Tarjimon voqelikni asarda ko‘rsatilgani darajasida bilsagina badiiy chin, haqqoniy tarjima yarata oladi” .</w:t>
      </w:r>
    </w:p>
    <w:p w14:paraId="7B1FA692" w14:textId="77777777" w:rsidR="008A7B0A" w:rsidRPr="008A7B0A" w:rsidRDefault="008A7B0A" w:rsidP="008A7B0A">
      <w:pPr>
        <w:jc w:val="both"/>
        <w:rPr>
          <w:rFonts w:ascii="Times New Roman" w:hAnsi="Times New Roman" w:cs="Times New Roman"/>
          <w:lang w:val="de-DE"/>
        </w:rPr>
      </w:pPr>
    </w:p>
    <w:p w14:paraId="084621AF"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Tarjima qusurlari</w:t>
      </w:r>
    </w:p>
    <w:p w14:paraId="0586E6C2"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“Tarjima qusurlaridan quyidagilarni ajratib ko‘rsatish mumkin:</w:t>
      </w:r>
    </w:p>
    <w:p w14:paraId="234F4C16"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1. Asar uslubini tushunmaslik, o‘z tilidan unga muvofiq ifoda tarzini topa olmaslik (buni uslubiy befarqlik yoki uslubiy ojizlik illati deb ta’riflash mumkin).</w:t>
      </w:r>
    </w:p>
    <w:p w14:paraId="3426B6E5"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2. Tarjimonda hayotiy tajribaning yetishmasligidan kelib chiqadigan nuqsonlar (masalan, tarjimon kitobda tasvirlangan xo‘jalik sohasini, ishlab chiqarishni, xalq yoki mamlakat hayotini bilmasligi mumkin).</w:t>
      </w:r>
    </w:p>
    <w:p w14:paraId="4C432CEF"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lastRenderedPageBreak/>
        <w:t>3. Tarjimonning badiiy ijodga layoqatsizligi, tilni bilgani bilan, uni his qila olmasligidan kelib chiqayotgan illat.</w:t>
      </w:r>
    </w:p>
    <w:p w14:paraId="481F9A13"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4. Asl nusxada tasvirlangan xalq hayotining milliy o‘ziga xos tomonlarini durust aks ettira olmaslik.</w:t>
      </w:r>
    </w:p>
    <w:p w14:paraId="7F66AF27"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5. Tarjimada so‘z tanlashda, so‘z qo‘llashda yuz beradigan chatoqliklar va hokazo” .</w:t>
      </w:r>
    </w:p>
    <w:p w14:paraId="215A6CB9"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Tarjima qusurlarining kelib chiqish sabablari asosan quyidagicha:</w:t>
      </w:r>
    </w:p>
    <w:p w14:paraId="2509AAEF"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1) asliyat tilini yetarlicha bilmaslik;</w:t>
      </w:r>
    </w:p>
    <w:p w14:paraId="7EEF4F5D"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2) tarjima predmetini yaxshi bilmaslik;</w:t>
      </w:r>
    </w:p>
    <w:p w14:paraId="3DC499FF"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3) asar tilidagi frazeologizmlarning mazmun-mohiyatini yetarlicha tushunib yetmaslik;</w:t>
      </w:r>
    </w:p>
    <w:p w14:paraId="3A54A52D"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4) muallif va asar uslubini qayta yaratolmaslik;</w:t>
      </w:r>
    </w:p>
    <w:p w14:paraId="5C518B82"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5) badiiy tasvir vositalarini aks ettirolmaslik;</w:t>
      </w:r>
    </w:p>
    <w:p w14:paraId="3F61E41A"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6) milliy xususiyatlarni berishda xatolarga yo‘l qo‘yish;</w:t>
      </w:r>
    </w:p>
    <w:p w14:paraId="2978862C"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7) diniy e’tiqod va marosimlar bilan bog‘liq kamchiliklar;</w:t>
      </w:r>
    </w:p>
    <w:p w14:paraId="0FC01FD4"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8) personajlar tilini tarjima saqlab qololmaslik;</w:t>
      </w:r>
    </w:p>
    <w:p w14:paraId="5891B353"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9) muqobil vazn topolmaslik (she’riy tarjimada);</w:t>
      </w:r>
    </w:p>
    <w:p w14:paraId="6899508A"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10) qofiya yoki radifni tashlab ketish;</w:t>
      </w:r>
    </w:p>
    <w:p w14:paraId="5CB3B2B8"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11) so‘z tanlash bilan bog‘liq kamchiliklar;</w:t>
      </w:r>
    </w:p>
    <w:p w14:paraId="74DC2EF5"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12) matnni noto‘g‘ri o‘qish bilan bog‘liq qusurlar.</w:t>
      </w:r>
    </w:p>
    <w:p w14:paraId="3E025F58" w14:textId="77777777" w:rsidR="008A7B0A" w:rsidRPr="008A7B0A" w:rsidRDefault="008A7B0A" w:rsidP="008A7B0A">
      <w:pPr>
        <w:jc w:val="both"/>
        <w:rPr>
          <w:rFonts w:ascii="Times New Roman" w:hAnsi="Times New Roman" w:cs="Times New Roman"/>
          <w:lang w:val="de-DE"/>
        </w:rPr>
      </w:pPr>
      <w:r w:rsidRPr="008A7B0A">
        <w:rPr>
          <w:rFonts w:ascii="Times New Roman" w:hAnsi="Times New Roman" w:cs="Times New Roman"/>
          <w:lang w:val="de-DE"/>
        </w:rPr>
        <w:t xml:space="preserve">Masalan, tasavvufiy asarlar tarjimasida “xarobot”ni − mayxona, “rind”ni − mayxo‘r, “xirqa”ni − eski chopon, “adam”ni − yo‘qlik, “may hovuzi”ni − basseyn, “soqiy”ni − vinocherpiy deb tarjima qilish so‘fiyona istilohlarni bilmaslik tufayli yuz bersa, yapon she’riyatiga mansub xokku − uchlik janrini yoppasiga bir xil yoki har xil vaznda tarjima qilish uning janriy o‘ziga xosligini bilmaslikdan kelib chiqadi. Chunki xokkuning toq misralari − 5, juft misrasi − 7 bo‘g‘indan iborat bo‘lishi qat’iy belgilab qo‘yilgan. Tarjimada muallif uslubini saqlab qolmaslik esa tarjimonning badiiy asar uchun uslubning naqadar muhimligini bilmasligi yoki umuman uslub tushunchasidan bexabarligidan dalolat beradi va hokazo. </w:t>
      </w:r>
    </w:p>
    <w:p w14:paraId="7C1093FF" w14:textId="77777777" w:rsidR="008A7B0A" w:rsidRPr="008A7B0A" w:rsidRDefault="008A7B0A" w:rsidP="008A7B0A">
      <w:pPr>
        <w:jc w:val="both"/>
        <w:rPr>
          <w:rFonts w:ascii="Times New Roman" w:hAnsi="Times New Roman" w:cs="Times New Roman"/>
          <w:lang w:val="de-DE"/>
        </w:rPr>
      </w:pPr>
    </w:p>
    <w:p w14:paraId="2FC286DA" w14:textId="77777777" w:rsidR="008A7B0A" w:rsidRPr="008A7B0A" w:rsidRDefault="008A7B0A" w:rsidP="008A7B0A">
      <w:pPr>
        <w:jc w:val="both"/>
        <w:rPr>
          <w:rFonts w:ascii="Times New Roman" w:hAnsi="Times New Roman" w:cs="Times New Roman"/>
          <w:lang w:val="de-DE"/>
        </w:rPr>
      </w:pPr>
    </w:p>
    <w:p w14:paraId="6BFABB94" w14:textId="77777777" w:rsidR="008A7B0A" w:rsidRPr="008A7B0A" w:rsidRDefault="008A7B0A" w:rsidP="00D77607">
      <w:pPr>
        <w:jc w:val="both"/>
        <w:rPr>
          <w:rFonts w:ascii="Times New Roman" w:hAnsi="Times New Roman" w:cs="Times New Roman"/>
          <w:lang w:val="de-DE"/>
        </w:rPr>
      </w:pPr>
    </w:p>
    <w:sectPr w:rsidR="008A7B0A" w:rsidRPr="008A7B0A" w:rsidSect="00D23655">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0E8AD" w14:textId="77777777" w:rsidR="00FF1DE1" w:rsidRDefault="00FF1DE1" w:rsidP="008A7B0A">
      <w:r>
        <w:separator/>
      </w:r>
    </w:p>
  </w:endnote>
  <w:endnote w:type="continuationSeparator" w:id="0">
    <w:p w14:paraId="0EDDD8A1" w14:textId="77777777" w:rsidR="00FF1DE1" w:rsidRDefault="00FF1DE1" w:rsidP="008A7B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CD5116" w14:textId="77777777" w:rsidR="00FF1DE1" w:rsidRDefault="00FF1DE1" w:rsidP="008A7B0A">
      <w:r>
        <w:separator/>
      </w:r>
    </w:p>
  </w:footnote>
  <w:footnote w:type="continuationSeparator" w:id="0">
    <w:p w14:paraId="47CE9870" w14:textId="77777777" w:rsidR="00FF1DE1" w:rsidRDefault="00FF1DE1" w:rsidP="008A7B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B95"/>
    <w:rsid w:val="00610387"/>
    <w:rsid w:val="00635A37"/>
    <w:rsid w:val="008A7B0A"/>
    <w:rsid w:val="0093545A"/>
    <w:rsid w:val="00C22B95"/>
    <w:rsid w:val="00D77607"/>
    <w:rsid w:val="00FF1DE1"/>
  </w:rsids>
  <m:mathPr>
    <m:mathFont m:val="Cambria Math"/>
    <m:brkBin m:val="before"/>
    <m:brkBinSub m:val="--"/>
    <m:smallFrac m:val="0"/>
    <m:dispDef/>
    <m:lMargin m:val="0"/>
    <m:rMargin m:val="0"/>
    <m:defJc m:val="centerGroup"/>
    <m:wrapIndent m:val="1440"/>
    <m:intLim m:val="subSup"/>
    <m:naryLim m:val="undOvr"/>
  </m:mathPr>
  <w:themeFontLang w:val="ru-UZ"/>
  <w:clrSchemeMapping w:bg1="light1" w:t1="dark1" w:bg2="light2" w:t2="dark2" w:accent1="accent1" w:accent2="accent2" w:accent3="accent3" w:accent4="accent4" w:accent5="accent5" w:accent6="accent6" w:hyperlink="hyperlink" w:followedHyperlink="followedHyperlink"/>
  <w:decimalSymbol w:val=","/>
  <w:listSeparator w:val=";"/>
  <w14:docId w14:val="0BA15B1A"/>
  <w15:chartTrackingRefBased/>
  <w15:docId w15:val="{6C11AE26-91C8-5D40-8549-2E57D0730E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u-U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5</Pages>
  <Words>1875</Words>
  <Characters>13583</Characters>
  <Application>Microsoft Office Word</Application>
  <DocSecurity>0</DocSecurity>
  <Lines>301</Lines>
  <Paragraphs>75</Paragraphs>
  <ScaleCrop>false</ScaleCrop>
  <Company/>
  <LinksUpToDate>false</LinksUpToDate>
  <CharactersWithSpaces>15383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2025-02-10T11:34:00Z</dcterms:created>
  <dcterms:modified xsi:type="dcterms:W3CDTF">2025-02-11T11:51:00Z</dcterms:modified>
</cp:coreProperties>
</file>